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</w:t>
      </w:r>
      <w:r w:rsidR="0088764E">
        <w:rPr>
          <w:rFonts w:asciiTheme="majorHAnsi" w:hAnsiTheme="majorHAnsi"/>
          <w:b/>
          <w:sz w:val="96"/>
          <w:szCs w:val="96"/>
        </w:rPr>
        <w:t xml:space="preserve"> </w:t>
      </w:r>
      <w:r w:rsidR="00402F8F" w:rsidRPr="001E200E">
        <w:rPr>
          <w:rFonts w:asciiTheme="majorHAnsi" w:hAnsiTheme="majorHAnsi"/>
          <w:b/>
          <w:sz w:val="96"/>
          <w:szCs w:val="96"/>
        </w:rPr>
        <w:t>!</w:t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</w:t>
      </w:r>
      <w:r w:rsidR="0088764E">
        <w:rPr>
          <w:rFonts w:asciiTheme="majorHAnsi" w:hAnsiTheme="majorHAnsi" w:cs="Arial"/>
          <w:sz w:val="32"/>
          <w:szCs w:val="32"/>
        </w:rPr>
        <w:t>-</w:t>
      </w:r>
      <w:bookmarkStart w:id="0" w:name="_GoBack"/>
      <w:bookmarkEnd w:id="0"/>
      <w:r>
        <w:rPr>
          <w:rFonts w:asciiTheme="majorHAnsi" w:hAnsiTheme="majorHAnsi" w:cs="Arial"/>
          <w:sz w:val="32"/>
          <w:szCs w:val="32"/>
        </w:rPr>
        <w:t xml:space="preserve"> GAZOWE</w:t>
      </w:r>
      <w:r w:rsidR="0088764E">
        <w:rPr>
          <w:rFonts w:asciiTheme="majorHAnsi" w:hAnsiTheme="majorHAnsi" w:cs="Arial"/>
          <w:sz w:val="32"/>
          <w:szCs w:val="32"/>
        </w:rPr>
        <w:t xml:space="preserve"> TADEUSZ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88764E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88764E">
        <w:rPr>
          <w:rFonts w:asciiTheme="majorHAnsi" w:hAnsiTheme="majorHAnsi" w:cs="Arial"/>
          <w:b/>
          <w:sz w:val="72"/>
          <w:szCs w:val="72"/>
        </w:rPr>
        <w:t>0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88764E">
        <w:rPr>
          <w:rFonts w:asciiTheme="majorHAnsi" w:hAnsiTheme="majorHAnsi" w:cs="Arial"/>
          <w:b/>
          <w:sz w:val="72"/>
          <w:szCs w:val="72"/>
        </w:rPr>
        <w:t>.2025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 w:rsidR="0088764E">
        <w:rPr>
          <w:rFonts w:asciiTheme="majorHAnsi" w:hAnsiTheme="majorHAnsi" w:cs="Arial"/>
          <w:b/>
          <w:sz w:val="40"/>
          <w:szCs w:val="40"/>
        </w:rPr>
        <w:t>poniedziałek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88764E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 w:rsidR="00FA5340" w:rsidRPr="00FA5340">
        <w:rPr>
          <w:rFonts w:asciiTheme="majorHAnsi" w:hAnsiTheme="majorHAnsi" w:cs="Arial"/>
          <w:b/>
          <w:sz w:val="72"/>
          <w:szCs w:val="56"/>
        </w:rPr>
        <w:t xml:space="preserve">Grzybowska </w:t>
      </w:r>
      <w:r w:rsidR="0088764E">
        <w:rPr>
          <w:rFonts w:asciiTheme="majorHAnsi" w:hAnsiTheme="majorHAnsi" w:cs="Arial"/>
          <w:b/>
          <w:sz w:val="88"/>
          <w:szCs w:val="88"/>
        </w:rPr>
        <w:t>5</w:t>
      </w:r>
    </w:p>
    <w:p w:rsidR="00402F8F" w:rsidRPr="0088764E" w:rsidRDefault="00402F8F" w:rsidP="0088764E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</w:t>
      </w:r>
      <w:r w:rsidR="0088764E">
        <w:rPr>
          <w:rFonts w:asciiTheme="majorHAnsi" w:hAnsiTheme="majorHAnsi" w:cs="Arial"/>
          <w:b/>
          <w:sz w:val="40"/>
          <w:szCs w:val="40"/>
        </w:rPr>
        <w:t>I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  <w:r w:rsidR="0088764E">
        <w:rPr>
          <w:rFonts w:asciiTheme="majorHAnsi" w:hAnsiTheme="majorHAnsi" w:cs="Arial"/>
          <w:b/>
          <w:sz w:val="56"/>
          <w:szCs w:val="56"/>
          <w:u w:val="single"/>
        </w:rPr>
        <w:t xml:space="preserve"> NR:</w:t>
      </w:r>
    </w:p>
    <w:p w:rsidR="0088764E" w:rsidRPr="0088764E" w:rsidRDefault="0088764E" w:rsidP="006A66DD">
      <w:pPr>
        <w:jc w:val="center"/>
        <w:rPr>
          <w:rFonts w:asciiTheme="majorHAnsi" w:hAnsiTheme="majorHAnsi" w:cs="Arial"/>
          <w:sz w:val="56"/>
          <w:szCs w:val="56"/>
        </w:rPr>
      </w:pPr>
      <w:r w:rsidRPr="0088764E">
        <w:rPr>
          <w:rFonts w:asciiTheme="majorHAnsi" w:hAnsiTheme="majorHAnsi" w:cs="Arial"/>
          <w:sz w:val="56"/>
          <w:szCs w:val="56"/>
        </w:rPr>
        <w:t>101, 102, 104, 108, 109, 205, 207, 320, 414, 415, 418, 501, 607, 709, 612, 707, 720, 805, 819, 905, 912, 914, 918, 1013, 1101, 1206, 1209, 1211, 1219, 1302, 1404, 1513, 1515</w:t>
      </w:r>
    </w:p>
    <w:p w:rsidR="0088764E" w:rsidRDefault="00AC48A9" w:rsidP="00D26483">
      <w:pPr>
        <w:rPr>
          <w:rFonts w:asciiTheme="majorHAnsi" w:hAnsiTheme="majorHAnsi"/>
          <w:b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C76D7">
        <w:rPr>
          <w:rFonts w:asciiTheme="majorHAnsi" w:hAnsiTheme="majorHAnsi" w:cs="Arial"/>
          <w:b/>
          <w:sz w:val="56"/>
          <w:szCs w:val="56"/>
        </w:rPr>
        <w:t xml:space="preserve">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>1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8</w:t>
      </w:r>
      <w:r w:rsidR="00FF132B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</w:t>
      </w:r>
      <w:r w:rsidR="009E244C" w:rsidRPr="00C96E26">
        <w:rPr>
          <w:rFonts w:asciiTheme="majorHAnsi" w:hAnsiTheme="majorHAnsi" w:cs="Arial"/>
          <w:b/>
          <w:sz w:val="88"/>
          <w:szCs w:val="88"/>
          <w:vertAlign w:val="superscript"/>
        </w:rPr>
        <w:t xml:space="preserve">  </w:t>
      </w:r>
      <w:r w:rsidR="009E244C" w:rsidRPr="00C96E26">
        <w:rPr>
          <w:rFonts w:asciiTheme="majorHAnsi" w:hAnsiTheme="majorHAnsi" w:cs="Arial"/>
          <w:b/>
          <w:sz w:val="88"/>
          <w:szCs w:val="88"/>
        </w:rPr>
        <w:t xml:space="preserve">- </w:t>
      </w:r>
      <w:r w:rsidR="00C96E26" w:rsidRPr="00C96E26">
        <w:rPr>
          <w:rFonts w:asciiTheme="majorHAnsi" w:hAnsiTheme="majorHAnsi" w:cs="Arial"/>
          <w:b/>
          <w:sz w:val="88"/>
          <w:szCs w:val="88"/>
        </w:rPr>
        <w:t>20</w:t>
      </w:r>
      <w:r w:rsidR="009E244C" w:rsidRPr="00C96E26">
        <w:rPr>
          <w:rFonts w:asciiTheme="majorHAnsi" w:hAnsiTheme="majorHAnsi" w:cs="Arial"/>
          <w:b/>
          <w:sz w:val="88"/>
          <w:szCs w:val="88"/>
          <w:u w:val="single"/>
          <w:vertAlign w:val="superscript"/>
        </w:rPr>
        <w:t>00</w:t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88764E">
        <w:rPr>
          <w:rFonts w:asciiTheme="majorHAnsi" w:hAnsiTheme="majorHAnsi" w:cs="Arial"/>
          <w:sz w:val="30"/>
          <w:szCs w:val="30"/>
        </w:rPr>
        <w:br/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</w:t>
      </w:r>
      <w:r w:rsidR="0088764E">
        <w:rPr>
          <w:rFonts w:asciiTheme="majorHAnsi" w:hAnsiTheme="majorHAnsi" w:cs="Arial"/>
          <w:sz w:val="32"/>
          <w:szCs w:val="32"/>
        </w:rPr>
        <w:t xml:space="preserve">        </w:t>
      </w:r>
      <w:r w:rsidR="009E244C">
        <w:rPr>
          <w:rFonts w:asciiTheme="majorHAnsi" w:hAnsiTheme="majorHAnsi" w:cs="Arial"/>
          <w:sz w:val="32"/>
          <w:szCs w:val="32"/>
        </w:rPr>
        <w:t xml:space="preserve">  </w:t>
      </w:r>
      <w:r w:rsidR="00402F8F" w:rsidRPr="0088764E">
        <w:rPr>
          <w:rFonts w:asciiTheme="majorHAnsi" w:hAnsiTheme="majorHAnsi" w:cs="Arial"/>
          <w:i/>
          <w:sz w:val="28"/>
          <w:szCs w:val="32"/>
          <w:u w:val="single"/>
        </w:rPr>
        <w:t>Telefony kontaktowe do pracowników dokonujących przeglądu:</w:t>
      </w:r>
      <w:r w:rsidR="00AE7A78" w:rsidRPr="0088764E">
        <w:rPr>
          <w:rFonts w:asciiTheme="majorHAnsi" w:hAnsiTheme="majorHAnsi" w:cs="Arial"/>
          <w:b/>
          <w:sz w:val="24"/>
          <w:szCs w:val="28"/>
        </w:rPr>
        <w:br/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                        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    </w:t>
      </w:r>
      <w:r w:rsidR="0088764E">
        <w:rPr>
          <w:rFonts w:asciiTheme="majorHAnsi" w:hAnsiTheme="majorHAnsi" w:cs="Arial"/>
          <w:b/>
          <w:sz w:val="24"/>
          <w:szCs w:val="28"/>
        </w:rPr>
        <w:t xml:space="preserve">        </w:t>
      </w:r>
      <w:r w:rsidR="00EE5D4D" w:rsidRPr="0088764E">
        <w:rPr>
          <w:rFonts w:asciiTheme="majorHAnsi" w:hAnsiTheme="majorHAnsi" w:cs="Arial"/>
          <w:b/>
          <w:sz w:val="24"/>
          <w:szCs w:val="28"/>
        </w:rPr>
        <w:t xml:space="preserve">     </w:t>
      </w:r>
      <w:r w:rsidR="009E244C" w:rsidRPr="0088764E">
        <w:rPr>
          <w:rFonts w:asciiTheme="majorHAnsi" w:hAnsiTheme="majorHAnsi" w:cs="Arial"/>
          <w:b/>
          <w:sz w:val="24"/>
          <w:szCs w:val="28"/>
        </w:rPr>
        <w:t xml:space="preserve">  </w:t>
      </w:r>
      <w:r w:rsidRPr="0088764E">
        <w:rPr>
          <w:rFonts w:asciiTheme="majorHAnsi" w:hAnsiTheme="majorHAnsi" w:cs="Arial"/>
          <w:b/>
          <w:sz w:val="24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Tadeusz Ruta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  nr </w:t>
      </w:r>
      <w:r w:rsidR="009E244C" w:rsidRPr="0088764E">
        <w:rPr>
          <w:rFonts w:asciiTheme="majorHAnsi" w:hAnsiTheme="majorHAnsi" w:cs="Arial"/>
          <w:b/>
          <w:sz w:val="28"/>
          <w:szCs w:val="28"/>
        </w:rPr>
        <w:t>t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>el.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: </w:t>
      </w:r>
      <w:r w:rsidR="00402F8F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FF132B" w:rsidRPr="0088764E"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88764E">
        <w:rPr>
          <w:rFonts w:asciiTheme="majorHAnsi" w:hAnsiTheme="majorHAnsi" w:cs="Arial"/>
          <w:b/>
          <w:sz w:val="32"/>
          <w:szCs w:val="32"/>
        </w:rPr>
        <w:t>602-291-45</w:t>
      </w:r>
      <w:r w:rsidR="006A66DD" w:rsidRPr="0088764E">
        <w:rPr>
          <w:rFonts w:asciiTheme="majorHAnsi" w:hAnsiTheme="majorHAnsi" w:cs="Arial"/>
          <w:b/>
          <w:sz w:val="32"/>
          <w:szCs w:val="32"/>
        </w:rPr>
        <w:t>2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br/>
        <w:t xml:space="preserve">          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   </w:t>
      </w:r>
      <w:r w:rsidR="0088764E">
        <w:rPr>
          <w:rFonts w:asciiTheme="majorHAnsi" w:hAnsiTheme="majorHAnsi" w:cs="Arial"/>
          <w:b/>
          <w:sz w:val="32"/>
          <w:szCs w:val="32"/>
        </w:rPr>
        <w:t xml:space="preserve">      </w:t>
      </w:r>
      <w:r w:rsidR="00EE5D4D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 xml:space="preserve">  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>Renata Ruta</w:t>
      </w:r>
      <w:r w:rsidR="00EE5D4D" w:rsidRPr="0088764E">
        <w:rPr>
          <w:rFonts w:asciiTheme="majorHAnsi" w:hAnsiTheme="majorHAnsi" w:cs="Arial"/>
          <w:b/>
          <w:sz w:val="28"/>
          <w:szCs w:val="32"/>
        </w:rPr>
        <w:t>- Szwalikowska</w:t>
      </w:r>
      <w:r w:rsidR="00FF132B" w:rsidRPr="0088764E">
        <w:rPr>
          <w:rFonts w:asciiTheme="majorHAnsi" w:hAnsiTheme="majorHAnsi" w:cs="Arial"/>
          <w:b/>
          <w:sz w:val="28"/>
          <w:szCs w:val="32"/>
        </w:rPr>
        <w:t xml:space="preserve">      nr tel. :   </w:t>
      </w:r>
      <w:r w:rsidR="00FF132B" w:rsidRPr="0088764E">
        <w:rPr>
          <w:rFonts w:asciiTheme="majorHAnsi" w:hAnsiTheme="majorHAnsi" w:cs="Arial"/>
          <w:b/>
          <w:sz w:val="32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9E244C" w:rsidRPr="0088764E">
        <w:rPr>
          <w:rFonts w:asciiTheme="majorHAnsi" w:hAnsiTheme="majorHAnsi"/>
          <w:b/>
          <w:sz w:val="12"/>
          <w:szCs w:val="14"/>
        </w:rPr>
        <w:br/>
      </w:r>
    </w:p>
    <w:p w:rsidR="00402F8F" w:rsidRPr="00D26483" w:rsidRDefault="005B424B" w:rsidP="00D26483">
      <w:pPr>
        <w:rPr>
          <w:rFonts w:asciiTheme="majorHAnsi" w:hAnsiTheme="majorHAnsi" w:cs="Arial"/>
          <w:sz w:val="14"/>
          <w:szCs w:val="14"/>
        </w:rPr>
      </w:pPr>
      <w:r w:rsidRPr="0088764E">
        <w:rPr>
          <w:rFonts w:asciiTheme="majorHAnsi" w:hAnsiTheme="majorHAnsi"/>
          <w:b/>
          <w:sz w:val="14"/>
          <w:szCs w:val="14"/>
        </w:rPr>
        <w:br/>
      </w:r>
      <w:r w:rsidR="00402F8F" w:rsidRPr="0088764E">
        <w:rPr>
          <w:rFonts w:asciiTheme="majorHAnsi" w:hAnsiTheme="majorHAnsi"/>
          <w:b/>
          <w:sz w:val="16"/>
          <w:szCs w:val="14"/>
        </w:rPr>
        <w:t>Obowiązek wykonywania przeglądu określa:</w:t>
      </w:r>
      <w:r w:rsidR="00402F8F" w:rsidRPr="0088764E">
        <w:rPr>
          <w:rFonts w:asciiTheme="majorHAnsi" w:hAnsiTheme="majorHAnsi"/>
          <w:sz w:val="16"/>
          <w:szCs w:val="14"/>
        </w:rPr>
        <w:br/>
        <w:t>Ustawa z dnia 07.07.1994r. Prawo Budowlane (Dz. U. z 2010r. Nr 243, poz. 1623)-Utrzymanie obiektów budowlanych.</w:t>
      </w:r>
      <w:r w:rsidR="001E200E" w:rsidRPr="0088764E">
        <w:rPr>
          <w:rFonts w:asciiTheme="majorHAnsi" w:hAnsiTheme="majorHAnsi"/>
          <w:sz w:val="16"/>
          <w:szCs w:val="14"/>
        </w:rPr>
        <w:br/>
      </w:r>
      <w:r w:rsidR="00402F8F" w:rsidRPr="0088764E">
        <w:rPr>
          <w:rFonts w:asciiTheme="majorHAnsi" w:hAnsiTheme="majorHAnsi"/>
          <w:b/>
          <w:sz w:val="16"/>
          <w:szCs w:val="14"/>
        </w:rPr>
        <w:t>Obowiązek udostępnienia lokali do przeglądu określają:</w:t>
      </w:r>
      <w:r w:rsidR="001E200E" w:rsidRPr="0088764E">
        <w:rPr>
          <w:rFonts w:asciiTheme="majorHAnsi" w:hAnsiTheme="majorHAnsi"/>
          <w:sz w:val="16"/>
          <w:szCs w:val="14"/>
        </w:rPr>
        <w:br/>
      </w:r>
      <w:r w:rsidR="00402F8F" w:rsidRPr="0088764E">
        <w:rPr>
          <w:rFonts w:asciiTheme="majorHAnsi" w:hAnsiTheme="majorHAnsi"/>
          <w:sz w:val="16"/>
          <w:szCs w:val="14"/>
        </w:rPr>
        <w:t>Ustawa z dnia 24.06.1994r. o własności lokali (Dz. U. z 2</w:t>
      </w:r>
      <w:r w:rsidR="009E244C" w:rsidRPr="0088764E">
        <w:rPr>
          <w:rFonts w:asciiTheme="majorHAnsi" w:hAnsiTheme="majorHAnsi"/>
          <w:sz w:val="16"/>
          <w:szCs w:val="14"/>
        </w:rPr>
        <w:t>000 Nr80, poz. 903 z późn. zm.)</w:t>
      </w:r>
    </w:p>
    <w:sectPr w:rsidR="00402F8F" w:rsidRPr="00D26483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88764E"/>
    <w:rsid w:val="009B1F86"/>
    <w:rsid w:val="009C76D7"/>
    <w:rsid w:val="009E244C"/>
    <w:rsid w:val="009F7262"/>
    <w:rsid w:val="00AC48A9"/>
    <w:rsid w:val="00AE7A78"/>
    <w:rsid w:val="00C96E26"/>
    <w:rsid w:val="00D26483"/>
    <w:rsid w:val="00D42862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43</cp:revision>
  <cp:lastPrinted>2016-06-23T09:45:00Z</cp:lastPrinted>
  <dcterms:created xsi:type="dcterms:W3CDTF">2015-09-21T10:22:00Z</dcterms:created>
  <dcterms:modified xsi:type="dcterms:W3CDTF">2025-01-09T15:58:00Z</dcterms:modified>
</cp:coreProperties>
</file>