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ZAWIADOMIENIE!</w:t>
      </w:r>
      <w:r w:rsidR="00402F8F" w:rsidRPr="001E200E">
        <w:rPr>
          <w:rFonts w:asciiTheme="majorHAnsi" w:hAnsiTheme="majorHAnsi"/>
        </w:rPr>
        <w:br/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 GAZOWE</w:t>
      </w:r>
      <w:r w:rsidR="009E244C">
        <w:rPr>
          <w:rFonts w:asciiTheme="majorHAnsi" w:hAnsiTheme="majorHAnsi" w:cs="Arial"/>
          <w:sz w:val="32"/>
          <w:szCs w:val="32"/>
        </w:rPr>
        <w:t xml:space="preserve"> </w:t>
      </w:r>
      <w:r w:rsidR="00EE5D4D">
        <w:rPr>
          <w:rFonts w:asciiTheme="majorHAnsi" w:hAnsiTheme="majorHAnsi" w:cs="Arial"/>
          <w:sz w:val="32"/>
          <w:szCs w:val="32"/>
        </w:rPr>
        <w:t>„RUT-KOM” S.C.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Tadeusz</w:t>
      </w:r>
      <w:r>
        <w:rPr>
          <w:rFonts w:asciiTheme="majorHAnsi" w:hAnsiTheme="majorHAnsi" w:cs="Arial"/>
          <w:sz w:val="32"/>
          <w:szCs w:val="32"/>
        </w:rPr>
        <w:t xml:space="preserve"> i Paulina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EE5D4D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EE5D4D">
        <w:rPr>
          <w:rFonts w:asciiTheme="majorHAnsi" w:hAnsiTheme="majorHAnsi" w:cs="Arial"/>
          <w:b/>
          <w:sz w:val="72"/>
          <w:szCs w:val="72"/>
        </w:rPr>
        <w:t>2.2024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>
        <w:rPr>
          <w:rFonts w:asciiTheme="majorHAnsi" w:hAnsiTheme="majorHAnsi" w:cs="Arial"/>
          <w:b/>
          <w:sz w:val="40"/>
          <w:szCs w:val="40"/>
        </w:rPr>
        <w:t>piątek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EA6155">
        <w:rPr>
          <w:rFonts w:asciiTheme="majorHAnsi" w:hAnsiTheme="majorHAnsi" w:cs="Arial"/>
          <w:sz w:val="28"/>
          <w:szCs w:val="28"/>
        </w:rPr>
        <w:br/>
      </w:r>
      <w:r w:rsidR="00EA6155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 w:rsidR="00FA5340" w:rsidRPr="00FA5340">
        <w:rPr>
          <w:rFonts w:asciiTheme="majorHAnsi" w:hAnsiTheme="majorHAnsi" w:cs="Arial"/>
          <w:b/>
          <w:sz w:val="72"/>
          <w:szCs w:val="56"/>
        </w:rPr>
        <w:t xml:space="preserve">Grzybowska </w:t>
      </w:r>
      <w:bookmarkStart w:id="0" w:name="_GoBack"/>
      <w:r w:rsidR="00C96E26" w:rsidRPr="00C96E26">
        <w:rPr>
          <w:rFonts w:asciiTheme="majorHAnsi" w:hAnsiTheme="majorHAnsi" w:cs="Arial"/>
          <w:b/>
          <w:sz w:val="88"/>
          <w:szCs w:val="88"/>
        </w:rPr>
        <w:t>6/10</w:t>
      </w:r>
      <w:r w:rsidR="00EE5D4D" w:rsidRPr="00C96E26">
        <w:rPr>
          <w:rFonts w:asciiTheme="majorHAnsi" w:hAnsiTheme="majorHAnsi" w:cs="Arial"/>
          <w:b/>
          <w:sz w:val="88"/>
          <w:szCs w:val="88"/>
        </w:rPr>
        <w:br/>
      </w:r>
      <w:bookmarkEnd w:id="0"/>
    </w:p>
    <w:p w:rsidR="00402F8F" w:rsidRPr="004D326D" w:rsidRDefault="00402F8F" w:rsidP="006A66DD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Pr="001E200E" w:rsidRDefault="00402F8F">
      <w:pPr>
        <w:rPr>
          <w:rFonts w:asciiTheme="majorHAnsi" w:hAnsiTheme="majorHAnsi" w:cs="Arial"/>
          <w:sz w:val="28"/>
          <w:szCs w:val="28"/>
          <w:u w:val="single"/>
        </w:rPr>
      </w:pPr>
    </w:p>
    <w:p w:rsidR="00402F8F" w:rsidRPr="00627575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</w:p>
    <w:p w:rsidR="00402F8F" w:rsidRPr="00D26483" w:rsidRDefault="00AC48A9" w:rsidP="00D26483">
      <w:pPr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C76D7">
        <w:rPr>
          <w:rFonts w:asciiTheme="majorHAnsi" w:hAnsiTheme="majorHAnsi" w:cs="Arial"/>
          <w:b/>
          <w:sz w:val="56"/>
          <w:szCs w:val="56"/>
        </w:rPr>
        <w:t xml:space="preserve">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>1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8</w:t>
      </w:r>
      <w:r w:rsidR="00FF132B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vertAlign w:val="superscript"/>
        </w:rPr>
        <w:t xml:space="preserve"> 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 xml:space="preserve">- 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20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00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FF132B">
        <w:rPr>
          <w:rFonts w:asciiTheme="majorHAnsi" w:hAnsiTheme="majorHAnsi" w:cs="Arial"/>
          <w:sz w:val="30"/>
          <w:szCs w:val="30"/>
        </w:rPr>
        <w:br/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  </w:t>
      </w:r>
      <w:r w:rsidR="00402F8F" w:rsidRPr="009E244C">
        <w:rPr>
          <w:rFonts w:asciiTheme="majorHAnsi" w:hAnsiTheme="majorHAnsi" w:cs="Arial"/>
          <w:i/>
          <w:sz w:val="32"/>
          <w:szCs w:val="32"/>
          <w:u w:val="single"/>
        </w:rPr>
        <w:t>Telefony kontaktowe do pracowników dokonujących przeglądu: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b/>
          <w:sz w:val="28"/>
          <w:szCs w:val="28"/>
        </w:rPr>
        <w:br/>
      </w:r>
      <w:r>
        <w:rPr>
          <w:rFonts w:asciiTheme="majorHAnsi" w:hAnsiTheme="majorHAnsi" w:cs="Arial"/>
          <w:b/>
          <w:sz w:val="28"/>
          <w:szCs w:val="28"/>
        </w:rPr>
        <w:t xml:space="preserve">                                 </w:t>
      </w:r>
      <w:r w:rsidR="00EE5D4D">
        <w:rPr>
          <w:rFonts w:asciiTheme="majorHAnsi" w:hAnsiTheme="majorHAnsi" w:cs="Arial"/>
          <w:b/>
          <w:sz w:val="28"/>
          <w:szCs w:val="28"/>
        </w:rPr>
        <w:t xml:space="preserve">              </w:t>
      </w:r>
      <w:r w:rsidR="009E244C"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Tadeusz Ruta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  nr </w:t>
      </w:r>
      <w:r w:rsidR="009E244C" w:rsidRPr="00EE5D4D">
        <w:rPr>
          <w:rFonts w:asciiTheme="majorHAnsi" w:hAnsiTheme="majorHAnsi" w:cs="Arial"/>
          <w:b/>
          <w:sz w:val="32"/>
          <w:szCs w:val="28"/>
        </w:rPr>
        <w:t>t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el.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: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6"/>
          <w:szCs w:val="32"/>
        </w:rPr>
        <w:t>602-291-45</w:t>
      </w:r>
      <w:r w:rsidR="006A66DD" w:rsidRPr="00EE5D4D">
        <w:rPr>
          <w:rFonts w:asciiTheme="majorHAnsi" w:hAnsiTheme="majorHAnsi" w:cs="Arial"/>
          <w:b/>
          <w:sz w:val="36"/>
          <w:szCs w:val="32"/>
        </w:rPr>
        <w:t>2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br/>
        <w:t xml:space="preserve">                </w:t>
      </w:r>
      <w:r w:rsidR="00EE5D4D">
        <w:rPr>
          <w:rFonts w:asciiTheme="majorHAnsi" w:hAnsiTheme="majorHAnsi" w:cs="Arial"/>
          <w:b/>
          <w:sz w:val="36"/>
          <w:szCs w:val="32"/>
        </w:rPr>
        <w:t xml:space="preserve">    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 xml:space="preserve">  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>Renata Ruta</w:t>
      </w:r>
      <w:r w:rsidR="00EE5D4D">
        <w:rPr>
          <w:rFonts w:asciiTheme="majorHAnsi" w:hAnsiTheme="majorHAnsi" w:cs="Arial"/>
          <w:b/>
          <w:sz w:val="32"/>
          <w:szCs w:val="32"/>
        </w:rPr>
        <w:t>- Szwalikowska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 xml:space="preserve">      nr tel. :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wykonywania przeglądu określa:</w:t>
      </w:r>
      <w:r w:rsidR="00402F8F" w:rsidRPr="00EE5D4D">
        <w:rPr>
          <w:rFonts w:asciiTheme="majorHAnsi" w:hAnsiTheme="majorHAnsi"/>
          <w:sz w:val="18"/>
          <w:szCs w:val="14"/>
        </w:rPr>
        <w:br/>
        <w:t>Ustawa z dnia 07.07.1994r. Prawo Budowlane (Dz. U. z 2010r. Nr 243, poz. 1623)-Utrzymanie obiektów budowlanych.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udostępnienia lokali do przeglądu określają: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sz w:val="18"/>
          <w:szCs w:val="14"/>
        </w:rPr>
        <w:t>Ustawa z dnia 24.06.1994r. o własności lokali (Dz. U. z 2</w:t>
      </w:r>
      <w:r w:rsidR="009E244C" w:rsidRPr="00EE5D4D">
        <w:rPr>
          <w:rFonts w:asciiTheme="majorHAnsi" w:hAnsiTheme="majorHAnsi"/>
          <w:sz w:val="18"/>
          <w:szCs w:val="14"/>
        </w:rPr>
        <w:t>000 Nr80, poz. 903 z późn. zm.)</w:t>
      </w:r>
    </w:p>
    <w:sectPr w:rsidR="00402F8F" w:rsidRPr="00D26483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9B1F86"/>
    <w:rsid w:val="009C76D7"/>
    <w:rsid w:val="009E244C"/>
    <w:rsid w:val="009F7262"/>
    <w:rsid w:val="00AC48A9"/>
    <w:rsid w:val="00AE7A78"/>
    <w:rsid w:val="00C96E26"/>
    <w:rsid w:val="00D26483"/>
    <w:rsid w:val="00D42862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41</cp:revision>
  <cp:lastPrinted>2016-06-23T09:45:00Z</cp:lastPrinted>
  <dcterms:created xsi:type="dcterms:W3CDTF">2015-09-21T10:22:00Z</dcterms:created>
  <dcterms:modified xsi:type="dcterms:W3CDTF">2024-12-16T11:17:00Z</dcterms:modified>
</cp:coreProperties>
</file>