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5D2438">
        <w:rPr>
          <w:rFonts w:asciiTheme="majorHAnsi" w:hAnsiTheme="majorHAnsi" w:cs="Arial"/>
          <w:sz w:val="36"/>
          <w:szCs w:val="36"/>
        </w:rPr>
        <w:t>u</w:t>
      </w:r>
      <w:r w:rsidRPr="001E200E">
        <w:rPr>
          <w:rFonts w:asciiTheme="majorHAnsi" w:hAnsiTheme="majorHAnsi" w:cs="Arial"/>
          <w:sz w:val="28"/>
          <w:szCs w:val="28"/>
        </w:rPr>
        <w:t xml:space="preserve"> </w:t>
      </w:r>
    </w:p>
    <w:p w:rsidR="005055A2" w:rsidRDefault="005D2438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11.01.2022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.</w:t>
      </w:r>
      <w:r w:rsidR="005055A2">
        <w:rPr>
          <w:rFonts w:asciiTheme="majorHAnsi" w:hAnsiTheme="majorHAnsi" w:cs="Arial"/>
          <w:b/>
          <w:bCs/>
          <w:sz w:val="96"/>
          <w:szCs w:val="96"/>
        </w:rPr>
        <w:t xml:space="preserve"> </w:t>
      </w:r>
    </w:p>
    <w:p w:rsidR="002A5BB0" w:rsidRPr="002A5BB0" w:rsidRDefault="005055A2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w godz. 18-20</w:t>
      </w:r>
    </w:p>
    <w:p w:rsidR="005D2438" w:rsidRDefault="005D2438" w:rsidP="006A66D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5D2438">
        <w:rPr>
          <w:rFonts w:asciiTheme="majorHAnsi" w:hAnsiTheme="majorHAnsi" w:cs="Arial"/>
          <w:sz w:val="48"/>
          <w:szCs w:val="48"/>
        </w:rPr>
        <w:t>W budynku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5055A2">
        <w:rPr>
          <w:rFonts w:asciiTheme="majorHAnsi" w:hAnsiTheme="majorHAnsi" w:cs="Arial"/>
          <w:b/>
          <w:bCs/>
          <w:sz w:val="48"/>
          <w:szCs w:val="48"/>
        </w:rPr>
        <w:t>Grzybowska 9</w:t>
      </w:r>
    </w:p>
    <w:p w:rsidR="00402F8F" w:rsidRPr="005D2438" w:rsidRDefault="005D2438" w:rsidP="006A66DD">
      <w:pPr>
        <w:jc w:val="center"/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Pr="005D2438">
        <w:rPr>
          <w:rFonts w:asciiTheme="majorHAnsi" w:hAnsiTheme="majorHAnsi" w:cs="Arial"/>
          <w:sz w:val="48"/>
          <w:szCs w:val="48"/>
        </w:rPr>
        <w:t xml:space="preserve">wyznaczono </w:t>
      </w:r>
      <w:r w:rsidRPr="005D2438">
        <w:rPr>
          <w:rFonts w:asciiTheme="majorHAnsi" w:hAnsiTheme="majorHAnsi" w:cs="Arial"/>
          <w:b/>
          <w:bCs/>
          <w:sz w:val="48"/>
          <w:szCs w:val="48"/>
        </w:rPr>
        <w:t xml:space="preserve"> III</w:t>
      </w:r>
      <w:r w:rsidRPr="005D2438">
        <w:rPr>
          <w:rFonts w:asciiTheme="majorHAnsi" w:hAnsiTheme="majorHAnsi" w:cs="Arial"/>
          <w:sz w:val="48"/>
          <w:szCs w:val="48"/>
        </w:rPr>
        <w:t xml:space="preserve">  </w:t>
      </w:r>
      <w:r w:rsidR="00963961">
        <w:rPr>
          <w:rFonts w:asciiTheme="majorHAnsi" w:hAnsiTheme="majorHAnsi" w:cs="Arial"/>
          <w:sz w:val="48"/>
          <w:szCs w:val="48"/>
        </w:rPr>
        <w:t>termin</w:t>
      </w:r>
      <w:bookmarkStart w:id="0" w:name="_GoBack"/>
      <w:bookmarkEnd w:id="0"/>
      <w:r w:rsidRPr="005D2438">
        <w:rPr>
          <w:rFonts w:asciiTheme="majorHAnsi" w:hAnsiTheme="majorHAnsi" w:cs="Arial"/>
          <w:sz w:val="48"/>
          <w:szCs w:val="48"/>
        </w:rPr>
        <w:t xml:space="preserve"> przeglądu gazowego </w:t>
      </w:r>
      <w:r w:rsidR="00402F8F" w:rsidRPr="005D2438">
        <w:rPr>
          <w:rFonts w:asciiTheme="majorHAnsi" w:hAnsiTheme="majorHAnsi" w:cs="Arial"/>
          <w:sz w:val="48"/>
          <w:szCs w:val="48"/>
        </w:rPr>
        <w:t>.</w:t>
      </w: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  <w:r w:rsidR="00627575" w:rsidRPr="00627575">
        <w:rPr>
          <w:rFonts w:asciiTheme="majorHAnsi" w:hAnsiTheme="majorHAnsi" w:cs="Arial"/>
          <w:b/>
          <w:sz w:val="56"/>
          <w:szCs w:val="56"/>
          <w:u w:val="single"/>
        </w:rPr>
        <w:t xml:space="preserve">, </w:t>
      </w:r>
    </w:p>
    <w:p w:rsidR="005D2438" w:rsidRDefault="005D2438" w:rsidP="00D26483">
      <w:pPr>
        <w:rPr>
          <w:rFonts w:asciiTheme="majorHAnsi" w:hAnsiTheme="majorHAnsi" w:cs="Arial"/>
          <w:b/>
          <w:bCs/>
          <w:sz w:val="40"/>
          <w:szCs w:val="40"/>
        </w:rPr>
      </w:pPr>
    </w:p>
    <w:p w:rsidR="005C5F73" w:rsidRPr="005C5F73" w:rsidRDefault="005D2438" w:rsidP="00D26483">
      <w:pPr>
        <w:rPr>
          <w:rFonts w:asciiTheme="majorHAnsi" w:hAnsiTheme="majorHAnsi" w:cs="Arial"/>
          <w:b/>
          <w:bCs/>
          <w:sz w:val="44"/>
          <w:szCs w:val="44"/>
        </w:rPr>
      </w:pPr>
      <w:r>
        <w:rPr>
          <w:rFonts w:asciiTheme="majorHAnsi" w:hAnsiTheme="majorHAnsi" w:cs="Arial"/>
          <w:b/>
          <w:bCs/>
          <w:sz w:val="40"/>
          <w:szCs w:val="40"/>
        </w:rPr>
        <w:t xml:space="preserve">Dotyczy lokali: </w:t>
      </w:r>
      <w:r w:rsidR="005055A2" w:rsidRPr="005055A2">
        <w:rPr>
          <w:b/>
          <w:bCs/>
          <w:sz w:val="48"/>
          <w:szCs w:val="48"/>
        </w:rPr>
        <w:t>104, 107, 213, 309, 402, 405, 501, 509, 517, 605, 614, 713, 809, 815, 901, 1004, 1005, 1009, 1012, 1106, 1109, 1116, 1207, 1209, 1220, 1309, 1313, 1407, 1420, 1507, 1515, 1518</w:t>
      </w:r>
      <w:r w:rsidR="005055A2">
        <w:rPr>
          <w:b/>
          <w:bCs/>
          <w:sz w:val="48"/>
          <w:szCs w:val="48"/>
        </w:rPr>
        <w:t>.</w:t>
      </w:r>
    </w:p>
    <w:p w:rsidR="005D2438" w:rsidRDefault="009E244C" w:rsidP="00D26483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                  </w:t>
      </w:r>
    </w:p>
    <w:p w:rsidR="005D2438" w:rsidRDefault="005D2438" w:rsidP="00D26483">
      <w:pPr>
        <w:rPr>
          <w:rFonts w:asciiTheme="majorHAnsi" w:hAnsiTheme="majorHAnsi" w:cs="Arial"/>
          <w:sz w:val="30"/>
          <w:szCs w:val="30"/>
        </w:rPr>
      </w:pPr>
    </w:p>
    <w:p w:rsidR="00402F8F" w:rsidRPr="00D26483" w:rsidRDefault="009E244C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0"/>
          <w:szCs w:val="30"/>
        </w:rPr>
        <w:t xml:space="preserve">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el.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E1" w:rsidRDefault="00E955E1" w:rsidP="005D2438">
      <w:pPr>
        <w:spacing w:after="0" w:line="240" w:lineRule="auto"/>
      </w:pPr>
      <w:r>
        <w:separator/>
      </w:r>
    </w:p>
  </w:endnote>
  <w:endnote w:type="continuationSeparator" w:id="0">
    <w:p w:rsidR="00E955E1" w:rsidRDefault="00E955E1" w:rsidP="005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E1" w:rsidRDefault="00E955E1" w:rsidP="005D2438">
      <w:pPr>
        <w:spacing w:after="0" w:line="240" w:lineRule="auto"/>
      </w:pPr>
      <w:r>
        <w:separator/>
      </w:r>
    </w:p>
  </w:footnote>
  <w:footnote w:type="continuationSeparator" w:id="0">
    <w:p w:rsidR="00E955E1" w:rsidRDefault="00E955E1" w:rsidP="005D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20544"/>
    <w:rsid w:val="000F3A83"/>
    <w:rsid w:val="001E200E"/>
    <w:rsid w:val="002A5BB0"/>
    <w:rsid w:val="002B0944"/>
    <w:rsid w:val="00353C2B"/>
    <w:rsid w:val="0038432F"/>
    <w:rsid w:val="003C4AF1"/>
    <w:rsid w:val="00402F8F"/>
    <w:rsid w:val="00416EB2"/>
    <w:rsid w:val="005055A2"/>
    <w:rsid w:val="0056220D"/>
    <w:rsid w:val="00565CA1"/>
    <w:rsid w:val="00571D85"/>
    <w:rsid w:val="005B424B"/>
    <w:rsid w:val="005C5F73"/>
    <w:rsid w:val="005D2438"/>
    <w:rsid w:val="00627575"/>
    <w:rsid w:val="006A66DD"/>
    <w:rsid w:val="007A6A74"/>
    <w:rsid w:val="008365F2"/>
    <w:rsid w:val="00864AC1"/>
    <w:rsid w:val="00865FB3"/>
    <w:rsid w:val="00963961"/>
    <w:rsid w:val="009B1F86"/>
    <w:rsid w:val="009D192D"/>
    <w:rsid w:val="009E244C"/>
    <w:rsid w:val="009F7262"/>
    <w:rsid w:val="00A672DB"/>
    <w:rsid w:val="00AC48A9"/>
    <w:rsid w:val="00AE7A78"/>
    <w:rsid w:val="00B000E4"/>
    <w:rsid w:val="00D26483"/>
    <w:rsid w:val="00D42862"/>
    <w:rsid w:val="00E50528"/>
    <w:rsid w:val="00E82296"/>
    <w:rsid w:val="00E955E1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6567"/>
  <w15:docId w15:val="{6FD68C4E-6A53-4843-9809-3F770E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2022-01-03T14:19:00Z</cp:lastPrinted>
  <dcterms:created xsi:type="dcterms:W3CDTF">2022-01-03T14:40:00Z</dcterms:created>
  <dcterms:modified xsi:type="dcterms:W3CDTF">2022-01-03T14:40:00Z</dcterms:modified>
</cp:coreProperties>
</file>